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3E" w:rsidRDefault="00821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 к письму</w:t>
      </w:r>
    </w:p>
    <w:p w:rsidR="00A5563E" w:rsidRDefault="00821D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от «__» _______ 2025 г. № _______</w:t>
      </w:r>
    </w:p>
    <w:p w:rsidR="00A5563E" w:rsidRDefault="00A5563E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563E" w:rsidRDefault="00A5563E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563E" w:rsidRDefault="00821D46">
      <w:pPr>
        <w:pStyle w:val="afa"/>
        <w:tabs>
          <w:tab w:val="left" w:pos="1418"/>
        </w:tabs>
        <w:spacing w:line="276" w:lineRule="auto"/>
        <w:ind w:left="567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Инструкция назначения функциональных ролей пользователям Участников процесса прогнозирования </w:t>
      </w:r>
      <w:r>
        <w:rPr>
          <w:b/>
          <w:bCs/>
          <w:szCs w:val="28"/>
        </w:rPr>
        <w:t>для работы в Модуле кассового планирования государственной интегрированной информационной системы управления общественными финансами «Электронный бюджет</w:t>
      </w:r>
      <w:r>
        <w:rPr>
          <w:b/>
          <w:bCs/>
          <w:szCs w:val="28"/>
          <w:highlight w:val="white"/>
        </w:rPr>
        <w:t xml:space="preserve">» </w:t>
      </w:r>
      <w:r>
        <w:rPr>
          <w:b/>
          <w:bCs/>
          <w:szCs w:val="28"/>
        </w:rPr>
        <w:t>в Подсистеме обеспечения информационной безопасности Системы обеспечения безопасности информации Федер</w:t>
      </w:r>
      <w:r>
        <w:rPr>
          <w:b/>
          <w:bCs/>
          <w:szCs w:val="28"/>
        </w:rPr>
        <w:t>ального казначейства</w:t>
      </w:r>
    </w:p>
    <w:p w:rsidR="00A5563E" w:rsidRDefault="00A5563E">
      <w:pPr>
        <w:pStyle w:val="afa"/>
        <w:spacing w:line="276" w:lineRule="auto"/>
        <w:ind w:firstLine="709"/>
      </w:pPr>
    </w:p>
    <w:p w:rsidR="00A5563E" w:rsidRDefault="00821D46">
      <w:pPr>
        <w:pStyle w:val="afa"/>
        <w:spacing w:line="276" w:lineRule="auto"/>
        <w:ind w:firstLine="709"/>
        <w:rPr>
          <w:szCs w:val="28"/>
          <w:lang w:eastAsia="en-US"/>
        </w:rPr>
      </w:pPr>
      <w:r>
        <w:rPr>
          <w:szCs w:val="28"/>
        </w:rPr>
        <w:t>П</w:t>
      </w:r>
      <w:r>
        <w:rPr>
          <w:szCs w:val="28"/>
          <w:lang w:eastAsia="en-US"/>
        </w:rPr>
        <w:t xml:space="preserve">одключение функциональных ролей пользователям </w:t>
      </w:r>
      <w:r>
        <w:rPr>
          <w:szCs w:val="28"/>
        </w:rPr>
        <w:t>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</w:t>
      </w:r>
      <w:r>
        <w:rPr>
          <w:szCs w:val="28"/>
          <w:highlight w:val="white"/>
        </w:rPr>
        <w:t>» (да</w:t>
      </w:r>
      <w:r>
        <w:rPr>
          <w:szCs w:val="28"/>
          <w:highlight w:val="white"/>
        </w:rPr>
        <w:t>лее – Модуль кассового планирования ПУДС)</w:t>
      </w:r>
      <w:r>
        <w:rPr>
          <w:szCs w:val="28"/>
        </w:rPr>
        <w:t xml:space="preserve"> </w:t>
      </w:r>
      <w:r>
        <w:rPr>
          <w:szCs w:val="28"/>
          <w:lang w:eastAsia="en-US"/>
        </w:rPr>
        <w:t xml:space="preserve">осуществляется с использованием функционала </w:t>
      </w:r>
      <w:r>
        <w:rPr>
          <w:szCs w:val="28"/>
        </w:rPr>
        <w:t>П</w:t>
      </w:r>
      <w:r>
        <w:rPr>
          <w:szCs w:val="28"/>
          <w:highlight w:val="white"/>
        </w:rPr>
        <w:t>одсистемы обеспечения информационной безопасности Системы обеспечения безопасности информации Федерального казначейства</w:t>
      </w:r>
      <w:r>
        <w:rPr>
          <w:szCs w:val="28"/>
        </w:rPr>
        <w:t xml:space="preserve"> </w:t>
      </w:r>
      <w:r>
        <w:rPr>
          <w:szCs w:val="28"/>
        </w:rPr>
        <w:br/>
        <w:t xml:space="preserve">(далее </w:t>
      </w:r>
      <w:r>
        <w:rPr>
          <w:szCs w:val="28"/>
          <w:highlight w:val="white"/>
        </w:rPr>
        <w:t>–</w:t>
      </w:r>
      <w:r>
        <w:rPr>
          <w:szCs w:val="28"/>
        </w:rPr>
        <w:t xml:space="preserve"> ПОИБ СОБИ ФК) </w:t>
      </w:r>
      <w:r>
        <w:rPr>
          <w:szCs w:val="28"/>
          <w:lang w:eastAsia="en-US"/>
        </w:rPr>
        <w:t>без предоставления в орга</w:t>
      </w:r>
      <w:r>
        <w:rPr>
          <w:szCs w:val="28"/>
          <w:lang w:eastAsia="en-US"/>
        </w:rPr>
        <w:t>ны Федерального казначейства Заявки на подключение (изменение данных) пользователя на</w:t>
      </w:r>
      <w:r w:rsidR="00B65108">
        <w:rPr>
          <w:szCs w:val="28"/>
          <w:lang w:eastAsia="en-US"/>
        </w:rPr>
        <w:t> </w:t>
      </w:r>
      <w:r>
        <w:rPr>
          <w:szCs w:val="28"/>
          <w:lang w:eastAsia="en-US"/>
        </w:rPr>
        <w:t xml:space="preserve">бумажном носителе. </w:t>
      </w:r>
    </w:p>
    <w:p w:rsidR="00A5563E" w:rsidRDefault="00821D46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Подключение функциональных ролей пользователям Модуля кассового планирования ПУДС осуществляется путем создания заявки пользователя в ПОИБ СОБИ ФК и с</w:t>
      </w:r>
      <w:r>
        <w:rPr>
          <w:szCs w:val="28"/>
        </w:rPr>
        <w:t>огласования заявки непосредственным руководителем/заместителем руководителя (Регистратором) или непосредственным руководителем/заместителем руководителя - (Регистратором) и руководителем/заместителем уполномоченного органа Федерального казначейства (Операт</w:t>
      </w:r>
      <w:r>
        <w:rPr>
          <w:szCs w:val="28"/>
        </w:rPr>
        <w:t>ором ИС) в зависимости от выбранного для</w:t>
      </w:r>
      <w:r w:rsidR="00B65108">
        <w:rPr>
          <w:szCs w:val="28"/>
        </w:rPr>
        <w:t> </w:t>
      </w:r>
      <w:r>
        <w:rPr>
          <w:szCs w:val="28"/>
        </w:rPr>
        <w:t>согласования набора функциональных ролей.</w:t>
      </w:r>
    </w:p>
    <w:p w:rsidR="00A5563E" w:rsidRDefault="00821D46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Для назначения функциональных ролей пользователю необходимо создать заявку на изменение ролей профиля учетной записи пользователя. Для</w:t>
      </w:r>
      <w:r w:rsidR="00B65108">
        <w:rPr>
          <w:szCs w:val="28"/>
        </w:rPr>
        <w:t> </w:t>
      </w:r>
      <w:r>
        <w:rPr>
          <w:szCs w:val="28"/>
        </w:rPr>
        <w:t xml:space="preserve">этого необходимо: </w:t>
      </w:r>
    </w:p>
    <w:p w:rsidR="00A5563E" w:rsidRDefault="00821D46">
      <w:pPr>
        <w:pStyle w:val="afa"/>
        <w:numPr>
          <w:ilvl w:val="0"/>
          <w:numId w:val="5"/>
        </w:numPr>
        <w:spacing w:line="276" w:lineRule="auto"/>
        <w:rPr>
          <w:szCs w:val="28"/>
        </w:rPr>
      </w:pPr>
      <w:r>
        <w:rPr>
          <w:szCs w:val="28"/>
        </w:rPr>
        <w:t>авторизоваться в ПО</w:t>
      </w:r>
      <w:r>
        <w:rPr>
          <w:szCs w:val="28"/>
        </w:rPr>
        <w:t xml:space="preserve">ИБ СОБИ ФК, перейти на закладку «Роли» и нажать кнопку «Изменить» (см.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_Ref206663523 \h  \* MERGEFORMAT </w:instrText>
      </w:r>
      <w:r>
        <w:rPr>
          <w:szCs w:val="28"/>
        </w:rPr>
      </w:r>
      <w:r>
        <w:rPr>
          <w:szCs w:val="28"/>
        </w:rPr>
        <w:fldChar w:fldCharType="separate"/>
      </w:r>
      <w:r>
        <w:rPr>
          <w:szCs w:val="28"/>
          <w:shd w:val="clear" w:color="auto" w:fill="FFFFFF"/>
        </w:rPr>
        <w:t>Рисунок 1</w:t>
      </w:r>
      <w:r>
        <w:rPr>
          <w:szCs w:val="28"/>
        </w:rPr>
        <w:fldChar w:fldCharType="end"/>
      </w:r>
      <w:r>
        <w:rPr>
          <w:szCs w:val="28"/>
        </w:rPr>
        <w:t>);</w:t>
      </w:r>
    </w:p>
    <w:p w:rsidR="00A5563E" w:rsidRDefault="00821D46">
      <w:pPr>
        <w:pStyle w:val="afa"/>
        <w:numPr>
          <w:ilvl w:val="0"/>
          <w:numId w:val="5"/>
        </w:numPr>
        <w:spacing w:line="276" w:lineRule="auto"/>
        <w:rPr>
          <w:szCs w:val="28"/>
        </w:rPr>
      </w:pPr>
      <w:r>
        <w:rPr>
          <w:szCs w:val="28"/>
        </w:rPr>
        <w:t>в диалоговом окне в выпадающем поле «Информационная система» выбрат</w:t>
      </w:r>
      <w:r>
        <w:rPr>
          <w:szCs w:val="28"/>
        </w:rPr>
        <w:t xml:space="preserve">ь «Электронный бюджет», а затем в группе выбрать «ПУДС Кассовый план» (см.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_Ref206663806 \h  \* MERGEFORMAT </w:instrText>
      </w:r>
      <w:r>
        <w:rPr>
          <w:szCs w:val="28"/>
        </w:rPr>
      </w:r>
      <w:r>
        <w:rPr>
          <w:szCs w:val="28"/>
        </w:rPr>
        <w:fldChar w:fldCharType="separate"/>
      </w:r>
      <w:r>
        <w:rPr>
          <w:szCs w:val="28"/>
        </w:rPr>
        <w:t>Рисунок 2</w:t>
      </w:r>
      <w:r>
        <w:rPr>
          <w:szCs w:val="28"/>
        </w:rPr>
        <w:fldChar w:fldCharType="end"/>
      </w:r>
      <w:r>
        <w:rPr>
          <w:szCs w:val="28"/>
        </w:rPr>
        <w:t>);</w:t>
      </w:r>
    </w:p>
    <w:p w:rsidR="00A5563E" w:rsidRDefault="00821D46">
      <w:pPr>
        <w:pStyle w:val="afa"/>
        <w:numPr>
          <w:ilvl w:val="0"/>
          <w:numId w:val="5"/>
        </w:numPr>
        <w:spacing w:line="276" w:lineRule="auto"/>
        <w:rPr>
          <w:szCs w:val="28"/>
        </w:rPr>
      </w:pPr>
      <w:r>
        <w:rPr>
          <w:szCs w:val="28"/>
        </w:rPr>
        <w:lastRenderedPageBreak/>
        <w:t>выбрать необходимые функциональные роли для пользователя (см. </w:t>
      </w:r>
      <w:r>
        <w:rPr>
          <w:szCs w:val="28"/>
        </w:rPr>
        <w:fldChar w:fldCharType="begin"/>
      </w:r>
      <w:r>
        <w:rPr>
          <w:szCs w:val="28"/>
        </w:rPr>
        <w:instrText xml:space="preserve"> </w:instrText>
      </w:r>
      <w:r>
        <w:rPr>
          <w:szCs w:val="28"/>
        </w:rPr>
        <w:instrText xml:space="preserve">REF _Ref206663302 \h  \* MERGEFORMAT </w:instrText>
      </w:r>
      <w:r>
        <w:rPr>
          <w:szCs w:val="28"/>
        </w:rPr>
      </w:r>
      <w:r>
        <w:rPr>
          <w:szCs w:val="28"/>
        </w:rPr>
        <w:fldChar w:fldCharType="separate"/>
      </w:r>
      <w:r>
        <w:rPr>
          <w:szCs w:val="28"/>
        </w:rPr>
        <w:t>Таблица 1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A5563E" w:rsidRDefault="00821D46">
      <w:pPr>
        <w:keepNext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635965" cy="2621422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2720060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2291" t="8612" r="2831" b="12936"/>
                        <a:stretch/>
                      </pic:blipFill>
                      <pic:spPr bwMode="auto">
                        <a:xfrm>
                          <a:off x="0" y="0"/>
                          <a:ext cx="5635964" cy="26214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3.78pt;height:206.41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</w:p>
    <w:p w:rsidR="00A5563E" w:rsidRDefault="00821D46">
      <w:pPr>
        <w:pStyle w:val="afa"/>
        <w:spacing w:line="276" w:lineRule="auto"/>
        <w:ind w:firstLine="709"/>
        <w:jc w:val="center"/>
        <w:rPr>
          <w:sz w:val="24"/>
          <w:szCs w:val="24"/>
          <w:shd w:val="clear" w:color="auto" w:fill="FFFFFF"/>
        </w:rPr>
      </w:pPr>
      <w:bookmarkStart w:id="0" w:name="_Ref206663523"/>
      <w:r>
        <w:rPr>
          <w:sz w:val="24"/>
          <w:szCs w:val="24"/>
          <w:shd w:val="clear" w:color="auto" w:fill="FFFFFF"/>
        </w:rPr>
        <w:t xml:space="preserve">Рисунок </w:t>
      </w:r>
      <w:r>
        <w:rPr>
          <w:sz w:val="24"/>
          <w:szCs w:val="24"/>
          <w:shd w:val="clear" w:color="auto" w:fill="FFFFFF"/>
        </w:rPr>
        <w:fldChar w:fldCharType="begin"/>
      </w:r>
      <w:r>
        <w:rPr>
          <w:sz w:val="24"/>
          <w:szCs w:val="24"/>
          <w:shd w:val="clear" w:color="auto" w:fill="FFFFFF"/>
        </w:rPr>
        <w:instrText xml:space="preserve"> SEQ Рисунок \* ARABIC </w:instrText>
      </w:r>
      <w:r>
        <w:rPr>
          <w:sz w:val="24"/>
          <w:szCs w:val="24"/>
          <w:shd w:val="clear" w:color="auto" w:fill="FFFFFF"/>
        </w:rPr>
        <w:fldChar w:fldCharType="separate"/>
      </w:r>
      <w:r>
        <w:rPr>
          <w:sz w:val="24"/>
          <w:szCs w:val="24"/>
          <w:shd w:val="clear" w:color="auto" w:fill="FFFFFF"/>
        </w:rPr>
        <w:t>1</w:t>
      </w:r>
      <w:r>
        <w:rPr>
          <w:sz w:val="24"/>
          <w:szCs w:val="24"/>
          <w:shd w:val="clear" w:color="auto" w:fill="FFFFFF"/>
        </w:rPr>
        <w:fldChar w:fldCharType="end"/>
      </w:r>
      <w:bookmarkEnd w:id="0"/>
      <w:r>
        <w:rPr>
          <w:sz w:val="24"/>
          <w:szCs w:val="24"/>
          <w:shd w:val="clear" w:color="auto" w:fill="FFFFFF"/>
        </w:rPr>
        <w:t xml:space="preserve"> – Диалоговое окно при нажатии кнопки «Изменить» в ПОИБ СОБИ ФК</w:t>
      </w:r>
    </w:p>
    <w:p w:rsidR="00A5563E" w:rsidRDefault="00821D46">
      <w:pPr>
        <w:keepNext/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3008" behindDoc="0" locked="0" layoutInCell="1" allowOverlap="1">
                <wp:simplePos x="0" y="0"/>
                <wp:positionH relativeFrom="column">
                  <wp:posOffset>831427</wp:posOffset>
                </wp:positionH>
                <wp:positionV relativeFrom="paragraph">
                  <wp:posOffset>793405</wp:posOffset>
                </wp:positionV>
                <wp:extent cx="916781" cy="360"/>
                <wp:effectExtent l="3175" t="3175" r="3175" b="3175"/>
                <wp:wrapNone/>
                <wp:docPr id="2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16781" cy="36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43008;mso-wrap-distance-left:9.07pt;mso-wrap-distance-top:0.00pt;mso-wrap-distance-right:9.07pt;mso-wrap-distance-bottom:0.00pt;visibility:visible;" from="65.5pt,62.5pt" to="137.7pt,62.5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5056" behindDoc="0" locked="0" layoutInCell="1" allowOverlap="1">
                <wp:simplePos x="0" y="0"/>
                <wp:positionH relativeFrom="column">
                  <wp:posOffset>1754162</wp:posOffset>
                </wp:positionH>
                <wp:positionV relativeFrom="paragraph">
                  <wp:posOffset>793405</wp:posOffset>
                </wp:positionV>
                <wp:extent cx="0" cy="173001"/>
                <wp:effectExtent l="3175" t="3175" r="3175" b="3175"/>
                <wp:wrapNone/>
                <wp:docPr id="3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0" cy="17300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5056;mso-wrap-distance-left:9.07pt;mso-wrap-distance-top:0.00pt;mso-wrap-distance-right:9.07pt;mso-wrap-distance-bottom:0.00pt;flip:x;visibility:visible;" from="138.1pt,62.5pt" to="138.1pt,76.1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8128" behindDoc="0" locked="0" layoutInCell="1" allowOverlap="1">
                <wp:simplePos x="0" y="0"/>
                <wp:positionH relativeFrom="column">
                  <wp:posOffset>831427</wp:posOffset>
                </wp:positionH>
                <wp:positionV relativeFrom="paragraph">
                  <wp:posOffset>793405</wp:posOffset>
                </wp:positionV>
                <wp:extent cx="0" cy="173001"/>
                <wp:effectExtent l="3175" t="3175" r="3175" b="3175"/>
                <wp:wrapNone/>
                <wp:docPr id="4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7300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3" o:spid="_x0000_s3" style="position:absolute;left:0;text-align:left;z-index:48128;mso-wrap-distance-left:9.07pt;mso-wrap-distance-top:0.00pt;mso-wrap-distance-right:9.07pt;mso-wrap-distance-bottom:0.00pt;visibility:visible;" from="65.5pt,62.5pt" to="65.5pt,76.1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51200" behindDoc="0" locked="0" layoutInCell="1" allowOverlap="1">
                <wp:simplePos x="0" y="0"/>
                <wp:positionH relativeFrom="column">
                  <wp:posOffset>831427</wp:posOffset>
                </wp:positionH>
                <wp:positionV relativeFrom="paragraph">
                  <wp:posOffset>960452</wp:posOffset>
                </wp:positionV>
                <wp:extent cx="922734" cy="0"/>
                <wp:effectExtent l="3175" t="3175" r="3175" b="3175"/>
                <wp:wrapNone/>
                <wp:docPr id="5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22734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4" o:spid="_x0000_s4" style="position:absolute;left:0;text-align:left;z-index:51200;mso-wrap-distance-left:9.07pt;mso-wrap-distance-top:0.00pt;mso-wrap-distance-right:9.07pt;mso-wrap-distance-bottom:0.00pt;visibility:visible;" from="65.5pt,75.6pt" to="138.1pt,75.6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53248" behindDoc="0" locked="0" layoutInCell="1" allowOverlap="1">
                <wp:simplePos x="0" y="0"/>
                <wp:positionH relativeFrom="column">
                  <wp:posOffset>825474</wp:posOffset>
                </wp:positionH>
                <wp:positionV relativeFrom="paragraph">
                  <wp:posOffset>1186311</wp:posOffset>
                </wp:positionV>
                <wp:extent cx="934640" cy="360"/>
                <wp:effectExtent l="3175" t="3175" r="3175" b="3175"/>
                <wp:wrapNone/>
                <wp:docPr id="6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34640" cy="36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5" o:spid="_x0000_s5" style="position:absolute;left:0;text-align:left;z-index:53248;mso-wrap-distance-left:9.07pt;mso-wrap-distance-top:0.00pt;mso-wrap-distance-right:9.07pt;mso-wrap-distance-bottom:0.00pt;visibility:visible;" from="65.0pt,93.4pt" to="138.6pt,93.4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56320" behindDoc="0" locked="0" layoutInCell="1" allowOverlap="1">
                <wp:simplePos x="0" y="0"/>
                <wp:positionH relativeFrom="column">
                  <wp:posOffset>831427</wp:posOffset>
                </wp:positionH>
                <wp:positionV relativeFrom="paragraph">
                  <wp:posOffset>1186671</wp:posOffset>
                </wp:positionV>
                <wp:extent cx="0" cy="154781"/>
                <wp:effectExtent l="3175" t="3175" r="3175" b="3175"/>
                <wp:wrapNone/>
                <wp:docPr id="7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5478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6" o:spid="_x0000_s6" style="position:absolute;left:0;text-align:left;z-index:56320;mso-wrap-distance-left:9.07pt;mso-wrap-distance-top:0.00pt;mso-wrap-distance-right:9.07pt;mso-wrap-distance-bottom:0.00pt;visibility:visible;" from="65.5pt,93.4pt" to="65.5pt,105.6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58368" behindDoc="0" locked="0" layoutInCell="1" allowOverlap="1">
                <wp:simplePos x="0" y="0"/>
                <wp:positionH relativeFrom="column">
                  <wp:posOffset>1766068</wp:posOffset>
                </wp:positionH>
                <wp:positionV relativeFrom="paragraph">
                  <wp:posOffset>1186311</wp:posOffset>
                </wp:positionV>
                <wp:extent cx="0" cy="160734"/>
                <wp:effectExtent l="3175" t="3175" r="3175" b="3175"/>
                <wp:wrapNone/>
                <wp:docPr id="8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60734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7" o:spid="_x0000_s7" style="position:absolute;left:0;text-align:left;z-index:58368;mso-wrap-distance-left:9.07pt;mso-wrap-distance-top:0.00pt;mso-wrap-distance-right:9.07pt;mso-wrap-distance-bottom:0.00pt;visibility:visible;" from="139.1pt,93.4pt" to="139.1pt,106.1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60416" behindDoc="0" locked="0" layoutInCell="1" allowOverlap="1">
                <wp:simplePos x="0" y="0"/>
                <wp:positionH relativeFrom="column">
                  <wp:posOffset>837381</wp:posOffset>
                </wp:positionH>
                <wp:positionV relativeFrom="paragraph">
                  <wp:posOffset>1341452</wp:posOffset>
                </wp:positionV>
                <wp:extent cx="940594" cy="0"/>
                <wp:effectExtent l="3175" t="3175" r="3175" b="3175"/>
                <wp:wrapNone/>
                <wp:docPr id="9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40593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8" o:spid="_x0000_s8" style="position:absolute;left:0;text-align:left;z-index:60416;mso-wrap-distance-left:9.07pt;mso-wrap-distance-top:0.00pt;mso-wrap-distance-right:9.07pt;mso-wrap-distance-bottom:0.00pt;visibility:visible;" from="65.9pt,105.6pt" to="140.0pt,105.6pt" filled="f" strokecolor="#C00000" strokeweight="0.50pt">
                <v:stroke dashstyle="solid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616915" cy="3341489"/>
                <wp:effectExtent l="0" t="0" r="0" b="0"/>
                <wp:docPr id="1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1480881" name="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rcRect l="3367" t="-4845" r="2078" b="4843"/>
                        <a:stretch/>
                      </pic:blipFill>
                      <pic:spPr bwMode="auto">
                        <a:xfrm>
                          <a:off x="0" y="0"/>
                          <a:ext cx="5616913" cy="33414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42.28pt;height:263.11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 w:rsidR="00A5563E" w:rsidRDefault="00821D46">
      <w:pPr>
        <w:pStyle w:val="afa"/>
        <w:spacing w:line="276" w:lineRule="auto"/>
        <w:ind w:firstLine="709"/>
        <w:jc w:val="center"/>
        <w:rPr>
          <w:sz w:val="24"/>
          <w:szCs w:val="24"/>
          <w:shd w:val="clear" w:color="auto" w:fill="FFFFFF"/>
        </w:rPr>
      </w:pPr>
      <w:bookmarkStart w:id="1" w:name="_Ref206663806"/>
      <w:r>
        <w:rPr>
          <w:sz w:val="24"/>
          <w:szCs w:val="24"/>
          <w:shd w:val="clear" w:color="auto" w:fill="FFFFFF"/>
        </w:rPr>
        <w:t xml:space="preserve">Рисунок </w:t>
      </w:r>
      <w:r>
        <w:rPr>
          <w:sz w:val="24"/>
          <w:szCs w:val="24"/>
          <w:shd w:val="clear" w:color="auto" w:fill="FFFFFF"/>
        </w:rPr>
        <w:fldChar w:fldCharType="begin"/>
      </w:r>
      <w:r>
        <w:rPr>
          <w:sz w:val="24"/>
          <w:szCs w:val="24"/>
          <w:shd w:val="clear" w:color="auto" w:fill="FFFFFF"/>
        </w:rPr>
        <w:instrText xml:space="preserve"> SEQ Рисунок \* ARABIC </w:instrText>
      </w:r>
      <w:r>
        <w:rPr>
          <w:sz w:val="24"/>
          <w:szCs w:val="24"/>
          <w:shd w:val="clear" w:color="auto" w:fill="FFFFFF"/>
        </w:rPr>
        <w:fldChar w:fldCharType="separate"/>
      </w:r>
      <w:r>
        <w:rPr>
          <w:sz w:val="24"/>
          <w:szCs w:val="24"/>
          <w:shd w:val="clear" w:color="auto" w:fill="FFFFFF"/>
        </w:rPr>
        <w:t>2</w:t>
      </w:r>
      <w:r>
        <w:rPr>
          <w:sz w:val="24"/>
          <w:szCs w:val="24"/>
          <w:shd w:val="clear" w:color="auto" w:fill="FFFFFF"/>
        </w:rPr>
        <w:fldChar w:fldCharType="end"/>
      </w:r>
      <w:bookmarkEnd w:id="1"/>
      <w:r>
        <w:rPr>
          <w:sz w:val="24"/>
          <w:szCs w:val="24"/>
          <w:shd w:val="clear" w:color="auto" w:fill="FFFFFF"/>
        </w:rPr>
        <w:t xml:space="preserve"> – Фильтрация ролей по информационной системе и группе</w:t>
      </w:r>
    </w:p>
    <w:p w:rsidR="00A5563E" w:rsidRDefault="00A5563E"/>
    <w:p w:rsidR="00A5563E" w:rsidRDefault="00821D46">
      <w:pPr>
        <w:rPr>
          <w:rFonts w:ascii="Times New Roman" w:eastAsia="Calibri" w:hAnsi="Times New Roman" w:cs="Times New Roman"/>
          <w:spacing w:val="-2"/>
          <w:sz w:val="28"/>
          <w:szCs w:val="28"/>
          <w:shd w:val="clear" w:color="auto" w:fill="FFFFFF"/>
          <w:lang w:eastAsia="zh-CN"/>
        </w:rPr>
      </w:pPr>
      <w:r>
        <w:rPr>
          <w:szCs w:val="28"/>
          <w:shd w:val="clear" w:color="auto" w:fill="FFFFFF"/>
        </w:rPr>
        <w:br w:type="page" w:clear="all"/>
      </w:r>
    </w:p>
    <w:p w:rsidR="00A5563E" w:rsidRDefault="00821D46">
      <w:pPr>
        <w:pStyle w:val="afa"/>
        <w:spacing w:line="276" w:lineRule="auto"/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>Перечень полномочий пользователей, настроенных в ПОИБ СОБИ ФК для работы в</w:t>
      </w:r>
      <w:r>
        <w:rPr>
          <w:szCs w:val="28"/>
        </w:rPr>
        <w:t xml:space="preserve"> </w:t>
      </w:r>
      <w:r>
        <w:rPr>
          <w:szCs w:val="28"/>
          <w:highlight w:val="white"/>
        </w:rPr>
        <w:t>Модуле кассового планирования ПУДС</w:t>
      </w:r>
      <w:r>
        <w:rPr>
          <w:szCs w:val="28"/>
          <w:shd w:val="clear" w:color="auto" w:fill="FFFFFF"/>
        </w:rPr>
        <w:t xml:space="preserve"> представлен в таблице.</w:t>
      </w:r>
    </w:p>
    <w:p w:rsidR="00A5563E" w:rsidRDefault="00A5563E">
      <w:pPr>
        <w:pStyle w:val="afa"/>
        <w:spacing w:line="276" w:lineRule="auto"/>
        <w:ind w:firstLine="709"/>
        <w:rPr>
          <w:szCs w:val="28"/>
          <w:shd w:val="clear" w:color="auto" w:fill="FFFFFF"/>
        </w:rPr>
      </w:pPr>
    </w:p>
    <w:p w:rsidR="00A5563E" w:rsidRDefault="00821D46">
      <w:pPr>
        <w:pStyle w:val="afa"/>
        <w:spacing w:line="276" w:lineRule="auto"/>
        <w:ind w:firstLine="709"/>
        <w:jc w:val="right"/>
        <w:rPr>
          <w:sz w:val="24"/>
          <w:szCs w:val="24"/>
          <w:shd w:val="clear" w:color="auto" w:fill="FFFFFF"/>
        </w:rPr>
      </w:pPr>
      <w:bookmarkStart w:id="2" w:name="_Ref206663302"/>
      <w:r>
        <w:rPr>
          <w:sz w:val="24"/>
          <w:szCs w:val="24"/>
          <w:shd w:val="clear" w:color="auto" w:fill="FFFFFF"/>
        </w:rPr>
        <w:t xml:space="preserve">Таблица </w:t>
      </w:r>
      <w:r>
        <w:rPr>
          <w:sz w:val="24"/>
          <w:szCs w:val="24"/>
          <w:shd w:val="clear" w:color="auto" w:fill="FFFFFF"/>
        </w:rPr>
        <w:fldChar w:fldCharType="begin"/>
      </w:r>
      <w:r>
        <w:rPr>
          <w:sz w:val="24"/>
          <w:szCs w:val="24"/>
          <w:shd w:val="clear" w:color="auto" w:fill="FFFFFF"/>
        </w:rPr>
        <w:instrText xml:space="preserve"> SEQ Таблица \* ARABIC </w:instrText>
      </w:r>
      <w:r>
        <w:rPr>
          <w:sz w:val="24"/>
          <w:szCs w:val="24"/>
          <w:shd w:val="clear" w:color="auto" w:fill="FFFFFF"/>
        </w:rPr>
        <w:fldChar w:fldCharType="separate"/>
      </w:r>
      <w:r>
        <w:rPr>
          <w:sz w:val="24"/>
          <w:szCs w:val="24"/>
          <w:shd w:val="clear" w:color="auto" w:fill="FFFFFF"/>
        </w:rPr>
        <w:t>1</w:t>
      </w:r>
      <w:r>
        <w:rPr>
          <w:sz w:val="24"/>
          <w:szCs w:val="24"/>
          <w:shd w:val="clear" w:color="auto" w:fill="FFFFFF"/>
        </w:rPr>
        <w:fldChar w:fldCharType="end"/>
      </w:r>
      <w:bookmarkEnd w:id="2"/>
      <w:r>
        <w:rPr>
          <w:sz w:val="24"/>
          <w:szCs w:val="24"/>
          <w:shd w:val="clear" w:color="auto" w:fill="FFFFFF"/>
        </w:rPr>
        <w:t xml:space="preserve"> – Перечень функциональных ролей </w:t>
      </w:r>
      <w:r>
        <w:rPr>
          <w:sz w:val="24"/>
          <w:szCs w:val="24"/>
          <w:shd w:val="clear" w:color="auto" w:fill="FFFFFF"/>
        </w:rPr>
        <w:br/>
        <w:t>для участников процесса прогнозирования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4"/>
        <w:gridCol w:w="3614"/>
        <w:gridCol w:w="2037"/>
        <w:gridCol w:w="3180"/>
      </w:tblGrid>
      <w:tr w:rsidR="00A5563E">
        <w:trPr>
          <w:cantSplit/>
          <w:trHeight w:val="948"/>
          <w:tblHeader/>
          <w:jc w:val="center"/>
        </w:trPr>
        <w:tc>
          <w:tcPr>
            <w:tcW w:w="514" w:type="dxa"/>
            <w:vAlign w:val="center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5651" w:type="dxa"/>
            <w:gridSpan w:val="2"/>
            <w:vAlign w:val="center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3180" w:type="dxa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A5563E">
        <w:trPr>
          <w:cantSplit/>
          <w:trHeight w:val="660"/>
          <w:jc w:val="center"/>
        </w:trPr>
        <w:tc>
          <w:tcPr>
            <w:tcW w:w="9345" w:type="dxa"/>
            <w:gridSpan w:val="4"/>
            <w:vAlign w:val="center"/>
          </w:tcPr>
          <w:p w:rsidR="00A5563E" w:rsidRDefault="00821D46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Style w:val="af6"/>
                <w:rFonts w:ascii="Times New Roman" w:hAnsi="Times New Roman"/>
                <w:b/>
                <w:sz w:val="36"/>
                <w:szCs w:val="36"/>
              </w:rPr>
              <w:t>Участники процесса прогнозирования (далее – УПП)</w:t>
            </w:r>
          </w:p>
        </w:tc>
      </w:tr>
      <w:tr w:rsidR="00A5563E">
        <w:trPr>
          <w:cantSplit/>
          <w:trHeight w:val="589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jc w:val="center"/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списка соответствующего класса формуляров и самого формуляра с учетом ограничений</w:t>
            </w:r>
          </w:p>
        </w:tc>
        <w:tc>
          <w:tcPr>
            <w:tcW w:w="2037" w:type="dxa"/>
            <w:vMerge w:val="restart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</w:t>
            </w:r>
          </w:p>
        </w:tc>
        <w:tc>
          <w:tcPr>
            <w:tcW w:w="3180" w:type="dxa"/>
            <w:shd w:val="clear" w:color="FFFFFF" w:fill="FFFFFF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КП.УПП.Просмотр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</w:t>
            </w:r>
          </w:p>
        </w:tc>
      </w:tr>
      <w:tr w:rsidR="00A5563E">
        <w:trPr>
          <w:trHeight w:val="589"/>
          <w:jc w:val="center"/>
        </w:trPr>
        <w:tc>
          <w:tcPr>
            <w:tcW w:w="514" w:type="dxa"/>
            <w:vMerge/>
            <w:vAlign w:val="center"/>
          </w:tcPr>
          <w:p w:rsidR="00A5563E" w:rsidRDefault="00A5563E"/>
        </w:tc>
        <w:tc>
          <w:tcPr>
            <w:tcW w:w="3614" w:type="dxa"/>
            <w:vMerge/>
            <w:vAlign w:val="center"/>
          </w:tcPr>
          <w:p w:rsidR="00A5563E" w:rsidRDefault="00A5563E"/>
        </w:tc>
        <w:tc>
          <w:tcPr>
            <w:tcW w:w="2037" w:type="dxa"/>
            <w:vMerge/>
            <w:vAlign w:val="center"/>
          </w:tcPr>
          <w:p w:rsidR="00A5563E" w:rsidRDefault="00A5563E"/>
        </w:tc>
        <w:tc>
          <w:tcPr>
            <w:tcW w:w="3180" w:type="dxa"/>
            <w:vMerge w:val="restart"/>
            <w:shd w:val="clear" w:color="FFFFFF" w:fill="FFFFFF"/>
            <w:vAlign w:val="center"/>
          </w:tcPr>
          <w:p w:rsidR="00A5563E" w:rsidRDefault="00821D46">
            <w:proofErr w:type="spellStart"/>
            <w:r>
              <w:rPr>
                <w:rFonts w:ascii="Times New Roman" w:hAnsi="Times New Roman"/>
              </w:rPr>
              <w:t>КП.УПП.Просмотр</w:t>
            </w:r>
            <w:proofErr w:type="spellEnd"/>
            <w:r>
              <w:rPr>
                <w:rFonts w:ascii="Times New Roman" w:hAnsi="Times New Roman"/>
              </w:rPr>
              <w:t xml:space="preserve"> документов ТОФК</w:t>
            </w:r>
          </w:p>
        </w:tc>
      </w:tr>
      <w:tr w:rsidR="00A5563E">
        <w:trPr>
          <w:trHeight w:val="603"/>
          <w:jc w:val="center"/>
        </w:trPr>
        <w:tc>
          <w:tcPr>
            <w:tcW w:w="514" w:type="dxa"/>
            <w:vMerge/>
            <w:vAlign w:val="center"/>
          </w:tcPr>
          <w:p w:rsidR="00A5563E" w:rsidRDefault="00A5563E"/>
        </w:tc>
        <w:tc>
          <w:tcPr>
            <w:tcW w:w="3614" w:type="dxa"/>
            <w:vMerge/>
            <w:vAlign w:val="center"/>
          </w:tcPr>
          <w:p w:rsidR="00A5563E" w:rsidRDefault="00A5563E"/>
        </w:tc>
        <w:tc>
          <w:tcPr>
            <w:tcW w:w="2037" w:type="dxa"/>
            <w:vMerge/>
            <w:vAlign w:val="center"/>
          </w:tcPr>
          <w:p w:rsidR="00A5563E" w:rsidRDefault="00A5563E"/>
        </w:tc>
        <w:tc>
          <w:tcPr>
            <w:tcW w:w="3180" w:type="dxa"/>
            <w:vMerge w:val="restart"/>
            <w:shd w:val="clear" w:color="FFFFFF" w:fill="FFFFFF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КП.УПП.Просмотр</w:t>
            </w:r>
            <w:proofErr w:type="spellEnd"/>
            <w:r>
              <w:rPr>
                <w:rFonts w:ascii="Times New Roman" w:hAnsi="Times New Roman"/>
              </w:rPr>
              <w:t xml:space="preserve"> документов свода ТОФК</w:t>
            </w:r>
            <w:r>
              <w:rPr>
                <w:rStyle w:val="af6"/>
                <w:rFonts w:ascii="Times New Roman" w:hAnsi="Times New Roman"/>
              </w:rPr>
              <w:endnoteReference w:id="1"/>
            </w:r>
          </w:p>
        </w:tc>
      </w:tr>
      <w:tr w:rsidR="00A5563E">
        <w:trPr>
          <w:cantSplit/>
          <w:trHeight w:val="589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операций с формуляром</w:t>
            </w:r>
            <w:r>
              <w:rPr>
                <w:rFonts w:ascii="Times New Roman" w:hAnsi="Times New Roman"/>
              </w:rPr>
              <w:t>: создание, редактирование, консолидация данных, расчёт, удаление.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 данных</w:t>
            </w:r>
          </w:p>
        </w:tc>
        <w:tc>
          <w:tcPr>
            <w:tcW w:w="3180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КП.УПП.Ввод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</w:t>
            </w:r>
          </w:p>
        </w:tc>
      </w:tr>
      <w:tr w:rsidR="00A5563E">
        <w:trPr>
          <w:cantSplit/>
          <w:trHeight w:val="589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формуляра в черновик из статуса На подписании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3180" w:type="dxa"/>
            <w:vAlign w:val="center"/>
          </w:tcPr>
          <w:p w:rsidR="00A5563E" w:rsidRDefault="00821D46">
            <w:proofErr w:type="spellStart"/>
            <w:r>
              <w:rPr>
                <w:rFonts w:ascii="Times New Roman" w:hAnsi="Times New Roman"/>
              </w:rPr>
              <w:t>КП.УПП.Возврат</w:t>
            </w:r>
            <w:proofErr w:type="spellEnd"/>
            <w:r>
              <w:rPr>
                <w:rFonts w:ascii="Times New Roman" w:hAnsi="Times New Roman"/>
              </w:rPr>
              <w:t xml:space="preserve"> в черновик из статуса На подписании</w:t>
            </w:r>
          </w:p>
        </w:tc>
      </w:tr>
      <w:tr w:rsidR="00A5563E">
        <w:trPr>
          <w:cantSplit/>
          <w:trHeight w:val="590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Перевод формуляра на подписание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</w:t>
            </w:r>
          </w:p>
        </w:tc>
        <w:tc>
          <w:tcPr>
            <w:tcW w:w="3180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КП.УПП.Перевод</w:t>
            </w:r>
            <w:proofErr w:type="spellEnd"/>
            <w:r>
              <w:rPr>
                <w:rFonts w:ascii="Times New Roman" w:hAnsi="Times New Roman"/>
              </w:rPr>
              <w:t xml:space="preserve"> на подписание документов УПП</w:t>
            </w:r>
          </w:p>
        </w:tc>
      </w:tr>
      <w:tr w:rsidR="00A5563E">
        <w:trPr>
          <w:trHeight w:val="590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Подписание документов ответственным лицом, руководителем (первая подпись)</w:t>
            </w:r>
            <w:r>
              <w:rPr>
                <w:rStyle w:val="af6"/>
                <w:rFonts w:ascii="Times New Roman" w:hAnsi="Times New Roman"/>
              </w:rPr>
              <w:endnoteReference w:id="2"/>
            </w:r>
          </w:p>
        </w:tc>
        <w:tc>
          <w:tcPr>
            <w:tcW w:w="2037" w:type="dxa"/>
            <w:vMerge w:val="restart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3180" w:type="dxa"/>
            <w:vMerge w:val="restart"/>
            <w:vAlign w:val="center"/>
          </w:tcPr>
          <w:p w:rsidR="00A5563E" w:rsidRDefault="00821D46">
            <w:pPr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</w:rPr>
              <w:t>КП.УПП.Подписание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 (</w:t>
            </w:r>
            <w:r>
              <w:rPr>
                <w:rFonts w:ascii="Times New Roman" w:hAnsi="Times New Roman"/>
                <w:color w:val="000000" w:themeColor="text1"/>
              </w:rPr>
              <w:t>ответственное лицо)</w:t>
            </w:r>
            <w:r>
              <w:rPr>
                <w:rStyle w:val="af6"/>
                <w:rFonts w:ascii="Times New Roman" w:hAnsi="Times New Roman"/>
                <w:color w:val="000000" w:themeColor="text1"/>
              </w:rPr>
              <w:endnoteReference w:id="3"/>
            </w:r>
          </w:p>
        </w:tc>
      </w:tr>
      <w:tr w:rsidR="00A5563E">
        <w:trPr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Подписание документов исполнителем (вторая подпись)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3180" w:type="dxa"/>
            <w:vAlign w:val="center"/>
          </w:tcPr>
          <w:p w:rsidR="00A5563E" w:rsidRDefault="00821D46">
            <w:pPr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</w:rPr>
              <w:t>КП.УПП.Подписание</w:t>
            </w:r>
            <w:proofErr w:type="spellEnd"/>
            <w:r>
              <w:rPr>
                <w:rFonts w:ascii="Times New Roman" w:hAnsi="Times New Roman"/>
              </w:rPr>
              <w:t xml:space="preserve"> документов УПП</w:t>
            </w:r>
          </w:p>
        </w:tc>
      </w:tr>
    </w:tbl>
    <w:p w:rsidR="00A5563E" w:rsidRDefault="00A5563E"/>
    <w:sectPr w:rsidR="00A5563E">
      <w:head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46" w:rsidRDefault="00821D46">
      <w:pPr>
        <w:spacing w:after="0" w:line="240" w:lineRule="auto"/>
      </w:pPr>
      <w:r>
        <w:separator/>
      </w:r>
    </w:p>
  </w:endnote>
  <w:endnote w:type="continuationSeparator" w:id="0">
    <w:p w:rsidR="00821D46" w:rsidRDefault="00821D46">
      <w:pPr>
        <w:spacing w:after="0" w:line="240" w:lineRule="auto"/>
      </w:pPr>
      <w:r>
        <w:continuationSeparator/>
      </w:r>
    </w:p>
  </w:endnote>
  <w:endnote w:id="1">
    <w:p w:rsidR="00A5563E" w:rsidRDefault="00821D46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Роль доступна только для Социального фонда России.</w:t>
      </w:r>
    </w:p>
  </w:endnote>
  <w:endnote w:id="2">
    <w:p w:rsidR="00A5563E" w:rsidRDefault="00821D46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Возможность наделение полномочием с использованием машиночитаемой доверенности.</w:t>
      </w:r>
    </w:p>
  </w:endnote>
  <w:endnote w:id="3">
    <w:p w:rsidR="00A5563E" w:rsidRDefault="00821D46">
      <w:pPr>
        <w:pStyle w:val="af4"/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Для наделения полномочием требуется подтверждение Оператором Системы.</w:t>
      </w:r>
      <w:bookmarkStart w:id="3" w:name="_GoBack"/>
      <w:bookmarkEnd w:id="3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63E" w:rsidRDefault="00A5563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46" w:rsidRDefault="00821D46">
      <w:pPr>
        <w:spacing w:after="0" w:line="240" w:lineRule="auto"/>
      </w:pPr>
      <w:r>
        <w:separator/>
      </w:r>
    </w:p>
  </w:footnote>
  <w:footnote w:type="continuationSeparator" w:id="0">
    <w:p w:rsidR="00821D46" w:rsidRDefault="00821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63E" w:rsidRDefault="00821D46">
    <w:pPr>
      <w:pStyle w:val="aa"/>
      <w:jc w:val="center"/>
      <w:rPr>
        <w:rFonts w:ascii="Times New Roman" w:hAnsi="Times New Roman" w:cs="Times New Roman"/>
      </w:rPr>
    </w:pPr>
    <w:r>
      <w:fldChar w:fldCharType="begin"/>
    </w:r>
    <w:r>
      <w:instrText>PAGE \* MERGEFORMAT</w:instrText>
    </w:r>
    <w:r>
      <w:fldChar w:fldCharType="separate"/>
    </w:r>
    <w:r w:rsidR="00B65108" w:rsidRPr="00B65108">
      <w:rPr>
        <w:rFonts w:ascii="Times New Roman" w:eastAsia="Times New Roman" w:hAnsi="Times New Roman" w:cs="Times New Roman"/>
        <w:noProof/>
      </w:rPr>
      <w:t>3</w:t>
    </w:r>
    <w:r>
      <w:rPr>
        <w:rFonts w:ascii="Times New Roman" w:eastAsia="Times New Roman" w:hAnsi="Times New Roman" w:cs="Times New Roman"/>
      </w:rPr>
      <w:fldChar w:fldCharType="end"/>
    </w:r>
  </w:p>
  <w:p w:rsidR="00A5563E" w:rsidRDefault="00A5563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63E" w:rsidRDefault="00A5563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777C5"/>
    <w:multiLevelType w:val="hybridMultilevel"/>
    <w:tmpl w:val="44D4EACC"/>
    <w:lvl w:ilvl="0" w:tplc="305A6AA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A1C8DEB4">
      <w:start w:val="1"/>
      <w:numFmt w:val="lowerLetter"/>
      <w:lvlText w:val="%2."/>
      <w:lvlJc w:val="left"/>
      <w:pPr>
        <w:ind w:left="1440" w:hanging="360"/>
      </w:pPr>
    </w:lvl>
    <w:lvl w:ilvl="2" w:tplc="4740C57A">
      <w:start w:val="1"/>
      <w:numFmt w:val="lowerRoman"/>
      <w:lvlText w:val="%3."/>
      <w:lvlJc w:val="right"/>
      <w:pPr>
        <w:ind w:left="2160" w:hanging="180"/>
      </w:pPr>
    </w:lvl>
    <w:lvl w:ilvl="3" w:tplc="960CB8E0">
      <w:start w:val="1"/>
      <w:numFmt w:val="decimal"/>
      <w:lvlText w:val="%4."/>
      <w:lvlJc w:val="left"/>
      <w:pPr>
        <w:ind w:left="2880" w:hanging="360"/>
      </w:pPr>
    </w:lvl>
    <w:lvl w:ilvl="4" w:tplc="F5322A0E">
      <w:start w:val="1"/>
      <w:numFmt w:val="lowerLetter"/>
      <w:lvlText w:val="%5."/>
      <w:lvlJc w:val="left"/>
      <w:pPr>
        <w:ind w:left="3600" w:hanging="360"/>
      </w:pPr>
    </w:lvl>
    <w:lvl w:ilvl="5" w:tplc="A39897AA">
      <w:start w:val="1"/>
      <w:numFmt w:val="lowerRoman"/>
      <w:lvlText w:val="%6."/>
      <w:lvlJc w:val="right"/>
      <w:pPr>
        <w:ind w:left="4320" w:hanging="180"/>
      </w:pPr>
    </w:lvl>
    <w:lvl w:ilvl="6" w:tplc="F8CA0734">
      <w:start w:val="1"/>
      <w:numFmt w:val="decimal"/>
      <w:lvlText w:val="%7."/>
      <w:lvlJc w:val="left"/>
      <w:pPr>
        <w:ind w:left="5040" w:hanging="360"/>
      </w:pPr>
    </w:lvl>
    <w:lvl w:ilvl="7" w:tplc="C7CA48E6">
      <w:start w:val="1"/>
      <w:numFmt w:val="lowerLetter"/>
      <w:lvlText w:val="%8."/>
      <w:lvlJc w:val="left"/>
      <w:pPr>
        <w:ind w:left="5760" w:hanging="360"/>
      </w:pPr>
    </w:lvl>
    <w:lvl w:ilvl="8" w:tplc="1B8AE3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C697A"/>
    <w:multiLevelType w:val="hybridMultilevel"/>
    <w:tmpl w:val="652815C0"/>
    <w:lvl w:ilvl="0" w:tplc="D8608D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10EC1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3A47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AD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804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74E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88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0F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06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D2F8B"/>
    <w:multiLevelType w:val="hybridMultilevel"/>
    <w:tmpl w:val="2DD6AF9C"/>
    <w:lvl w:ilvl="0" w:tplc="73CE3754">
      <w:start w:val="1"/>
      <w:numFmt w:val="decimal"/>
      <w:lvlText w:val="%1."/>
      <w:lvlJc w:val="left"/>
      <w:pPr>
        <w:ind w:left="720" w:hanging="360"/>
      </w:pPr>
    </w:lvl>
    <w:lvl w:ilvl="1" w:tplc="EFEA716A">
      <w:start w:val="1"/>
      <w:numFmt w:val="lowerLetter"/>
      <w:lvlText w:val="%2."/>
      <w:lvlJc w:val="left"/>
      <w:pPr>
        <w:ind w:left="1440" w:hanging="360"/>
      </w:pPr>
    </w:lvl>
    <w:lvl w:ilvl="2" w:tplc="82D00692">
      <w:start w:val="1"/>
      <w:numFmt w:val="lowerRoman"/>
      <w:lvlText w:val="%3."/>
      <w:lvlJc w:val="right"/>
      <w:pPr>
        <w:ind w:left="2160" w:hanging="180"/>
      </w:pPr>
    </w:lvl>
    <w:lvl w:ilvl="3" w:tplc="4B92821E">
      <w:start w:val="1"/>
      <w:numFmt w:val="decimal"/>
      <w:lvlText w:val="%4."/>
      <w:lvlJc w:val="left"/>
      <w:pPr>
        <w:ind w:left="2880" w:hanging="360"/>
      </w:pPr>
    </w:lvl>
    <w:lvl w:ilvl="4" w:tplc="32765680">
      <w:start w:val="1"/>
      <w:numFmt w:val="lowerLetter"/>
      <w:lvlText w:val="%5."/>
      <w:lvlJc w:val="left"/>
      <w:pPr>
        <w:ind w:left="3600" w:hanging="360"/>
      </w:pPr>
    </w:lvl>
    <w:lvl w:ilvl="5" w:tplc="FB84AB98">
      <w:start w:val="1"/>
      <w:numFmt w:val="lowerRoman"/>
      <w:lvlText w:val="%6."/>
      <w:lvlJc w:val="right"/>
      <w:pPr>
        <w:ind w:left="4320" w:hanging="180"/>
      </w:pPr>
    </w:lvl>
    <w:lvl w:ilvl="6" w:tplc="6FD48A9A">
      <w:start w:val="1"/>
      <w:numFmt w:val="decimal"/>
      <w:lvlText w:val="%7."/>
      <w:lvlJc w:val="left"/>
      <w:pPr>
        <w:ind w:left="5040" w:hanging="360"/>
      </w:pPr>
    </w:lvl>
    <w:lvl w:ilvl="7" w:tplc="992CB4EE">
      <w:start w:val="1"/>
      <w:numFmt w:val="lowerLetter"/>
      <w:lvlText w:val="%8."/>
      <w:lvlJc w:val="left"/>
      <w:pPr>
        <w:ind w:left="5760" w:hanging="360"/>
      </w:pPr>
    </w:lvl>
    <w:lvl w:ilvl="8" w:tplc="C4E29A9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33614"/>
    <w:multiLevelType w:val="hybridMultilevel"/>
    <w:tmpl w:val="BC189A02"/>
    <w:lvl w:ilvl="0" w:tplc="B706E7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C4E62DE">
      <w:start w:val="1"/>
      <w:numFmt w:val="lowerLetter"/>
      <w:lvlText w:val="%2."/>
      <w:lvlJc w:val="left"/>
      <w:pPr>
        <w:ind w:left="1789" w:hanging="360"/>
      </w:pPr>
    </w:lvl>
    <w:lvl w:ilvl="2" w:tplc="49604F82">
      <w:start w:val="1"/>
      <w:numFmt w:val="lowerRoman"/>
      <w:lvlText w:val="%3."/>
      <w:lvlJc w:val="right"/>
      <w:pPr>
        <w:ind w:left="2509" w:hanging="180"/>
      </w:pPr>
    </w:lvl>
    <w:lvl w:ilvl="3" w:tplc="7CD09426">
      <w:start w:val="1"/>
      <w:numFmt w:val="decimal"/>
      <w:lvlText w:val="%4."/>
      <w:lvlJc w:val="left"/>
      <w:pPr>
        <w:ind w:left="3229" w:hanging="360"/>
      </w:pPr>
    </w:lvl>
    <w:lvl w:ilvl="4" w:tplc="13AE7EFA">
      <w:start w:val="1"/>
      <w:numFmt w:val="lowerLetter"/>
      <w:lvlText w:val="%5."/>
      <w:lvlJc w:val="left"/>
      <w:pPr>
        <w:ind w:left="3949" w:hanging="360"/>
      </w:pPr>
    </w:lvl>
    <w:lvl w:ilvl="5" w:tplc="C53068F4">
      <w:start w:val="1"/>
      <w:numFmt w:val="lowerRoman"/>
      <w:lvlText w:val="%6."/>
      <w:lvlJc w:val="right"/>
      <w:pPr>
        <w:ind w:left="4669" w:hanging="180"/>
      </w:pPr>
    </w:lvl>
    <w:lvl w:ilvl="6" w:tplc="C69CF890">
      <w:start w:val="1"/>
      <w:numFmt w:val="decimal"/>
      <w:lvlText w:val="%7."/>
      <w:lvlJc w:val="left"/>
      <w:pPr>
        <w:ind w:left="5389" w:hanging="360"/>
      </w:pPr>
    </w:lvl>
    <w:lvl w:ilvl="7" w:tplc="58985380">
      <w:start w:val="1"/>
      <w:numFmt w:val="lowerLetter"/>
      <w:lvlText w:val="%8."/>
      <w:lvlJc w:val="left"/>
      <w:pPr>
        <w:ind w:left="6109" w:hanging="360"/>
      </w:pPr>
    </w:lvl>
    <w:lvl w:ilvl="8" w:tplc="EA92941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5B610F7"/>
    <w:multiLevelType w:val="hybridMultilevel"/>
    <w:tmpl w:val="3310540E"/>
    <w:lvl w:ilvl="0" w:tplc="0A027116">
      <w:start w:val="1"/>
      <w:numFmt w:val="decimal"/>
      <w:lvlText w:val="%1."/>
      <w:lvlJc w:val="left"/>
      <w:pPr>
        <w:ind w:left="709" w:hanging="360"/>
      </w:pPr>
    </w:lvl>
    <w:lvl w:ilvl="1" w:tplc="CF64E042">
      <w:start w:val="1"/>
      <w:numFmt w:val="lowerLetter"/>
      <w:lvlText w:val="%2."/>
      <w:lvlJc w:val="left"/>
      <w:pPr>
        <w:ind w:left="1429" w:hanging="360"/>
      </w:pPr>
    </w:lvl>
    <w:lvl w:ilvl="2" w:tplc="BFC0D774">
      <w:start w:val="1"/>
      <w:numFmt w:val="lowerRoman"/>
      <w:lvlText w:val="%3."/>
      <w:lvlJc w:val="right"/>
      <w:pPr>
        <w:ind w:left="2149" w:hanging="180"/>
      </w:pPr>
    </w:lvl>
    <w:lvl w:ilvl="3" w:tplc="1122A67C">
      <w:start w:val="1"/>
      <w:numFmt w:val="decimal"/>
      <w:lvlText w:val="%4."/>
      <w:lvlJc w:val="left"/>
      <w:pPr>
        <w:ind w:left="2869" w:hanging="360"/>
      </w:pPr>
    </w:lvl>
    <w:lvl w:ilvl="4" w:tplc="8CD68210">
      <w:start w:val="1"/>
      <w:numFmt w:val="lowerLetter"/>
      <w:lvlText w:val="%5."/>
      <w:lvlJc w:val="left"/>
      <w:pPr>
        <w:ind w:left="3589" w:hanging="360"/>
      </w:pPr>
    </w:lvl>
    <w:lvl w:ilvl="5" w:tplc="0262E198">
      <w:start w:val="1"/>
      <w:numFmt w:val="lowerRoman"/>
      <w:lvlText w:val="%6."/>
      <w:lvlJc w:val="right"/>
      <w:pPr>
        <w:ind w:left="4309" w:hanging="180"/>
      </w:pPr>
    </w:lvl>
    <w:lvl w:ilvl="6" w:tplc="11CCFCEA">
      <w:start w:val="1"/>
      <w:numFmt w:val="decimal"/>
      <w:lvlText w:val="%7."/>
      <w:lvlJc w:val="left"/>
      <w:pPr>
        <w:ind w:left="5029" w:hanging="360"/>
      </w:pPr>
    </w:lvl>
    <w:lvl w:ilvl="7" w:tplc="50ECECCE">
      <w:start w:val="1"/>
      <w:numFmt w:val="lowerLetter"/>
      <w:lvlText w:val="%8."/>
      <w:lvlJc w:val="left"/>
      <w:pPr>
        <w:ind w:left="5749" w:hanging="360"/>
      </w:pPr>
    </w:lvl>
    <w:lvl w:ilvl="8" w:tplc="2A92702C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3E"/>
    <w:rsid w:val="00821D46"/>
    <w:rsid w:val="00A5563E"/>
    <w:rsid w:val="00B6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837C"/>
  <w15:docId w15:val="{10498CDD-90FE-4B2F-8565-9638B38D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Знак концевой сноски1"/>
    <w:uiPriority w:val="99"/>
    <w:semiHidden/>
    <w:unhideWhenUsed/>
    <w:rPr>
      <w:vertAlign w:val="superscript"/>
    </w:rPr>
  </w:style>
  <w:style w:type="paragraph" w:customStyle="1" w:styleId="afa">
    <w:name w:val="_Текст+абзац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firstLine="567"/>
      <w:jc w:val="both"/>
    </w:pPr>
    <w:rPr>
      <w:rFonts w:ascii="Times New Roman" w:eastAsia="Calibri" w:hAnsi="Times New Roman" w:cs="Times New Roman"/>
      <w:spacing w:val="-2"/>
      <w:sz w:val="2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3E384-4496-4D2F-B2CC-0EF4F7080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Анохина Валентина Васильевна</dc:creator>
  <cp:keywords/>
  <dc:description/>
  <cp:lastModifiedBy>Заборская Мария Сергеевна</cp:lastModifiedBy>
  <cp:revision>18</cp:revision>
  <dcterms:created xsi:type="dcterms:W3CDTF">2022-11-25T10:27:00Z</dcterms:created>
  <dcterms:modified xsi:type="dcterms:W3CDTF">2025-08-22T07:29:00Z</dcterms:modified>
</cp:coreProperties>
</file>